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届全国大学生网络文化节工作方案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一、目的意义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围绕“我们这十年”突出爱国爱党爱社会主义主题引领，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鼓励引导广大青年学生积极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创作优秀网络文化作品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活跃校园网络空间生态，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全面提升网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络素养，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推进网络文明建设，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唱响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时代主旋律，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以实际行动迎接党的二十大胜利召开。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争做校园好网民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凝聚网络正能量，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青春献礼二十大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高校全日制在校学生均可参与。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四、作品征集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本次文化节共征集</w:t>
      </w:r>
      <w:r>
        <w:rPr>
          <w:rFonts w:hint="eastAsia" w:eastAsia="仿宋_GB2312"/>
          <w:sz w:val="32"/>
          <w:szCs w:val="32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视频、微电影、动漫、摄影、网文、公益广告、音频、校园歌曲、其他类网络创新作品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类作品。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每所高校可同时申报多种类型作品，每种类型作品限报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项。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所有作品须为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日至提交截止日期间在网络上发表的作品。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）微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shd w:val="clear"/>
        </w:rPr>
        <w:t>视频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类型分为</w:t>
      </w:r>
      <w:r>
        <w:rPr>
          <w:rFonts w:ascii="Times New Roman" w:hAnsi="Times New Roman" w:eastAsia="仿宋_GB2312" w:cs="Times New Roman"/>
          <w:sz w:val="32"/>
          <w:szCs w:val="32"/>
        </w:rPr>
        <w:t>纪实纪录、卡通动漫、创新创意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征集。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画面清晰，声音清楚，</w:t>
      </w:r>
      <w:r>
        <w:rPr>
          <w:rFonts w:ascii="Times New Roman" w:hAnsi="Times New Roman" w:eastAsia="仿宋_GB2312" w:cs="Times New Roman"/>
          <w:sz w:val="32"/>
          <w:szCs w:val="32"/>
        </w:rPr>
        <w:t>内容配字幕，时长不超过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超出时长将取消参评资格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。为保证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上传顺畅，文件建议不超过6</w:t>
      </w:r>
      <w:r>
        <w:rPr>
          <w:rFonts w:ascii="Times New Roman" w:hAnsi="Times New Roman" w:eastAsia="仿宋_GB2312" w:cs="Times New Roman"/>
          <w:sz w:val="32"/>
          <w:szCs w:val="32"/>
        </w:rPr>
        <w:t>00MB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微电影作品</w:t>
      </w:r>
    </w:p>
    <w:p>
      <w:pPr>
        <w:pStyle w:val="31"/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作品要求</w:t>
      </w:r>
      <w:r>
        <w:rPr>
          <w:rFonts w:hint="eastAsia"/>
          <w:sz w:val="32"/>
          <w:szCs w:val="32"/>
        </w:rPr>
        <w:t>：类型</w:t>
      </w:r>
      <w:r>
        <w:rPr>
          <w:rFonts w:hint="eastAsia"/>
          <w:sz w:val="32"/>
          <w:szCs w:val="32"/>
          <w:lang w:val="en-US" w:eastAsia="zh-CN"/>
        </w:rPr>
        <w:t>分为</w:t>
      </w:r>
      <w:r>
        <w:rPr>
          <w:rFonts w:hint="eastAsia"/>
          <w:sz w:val="32"/>
          <w:szCs w:val="32"/>
        </w:rPr>
        <w:t>剧情类和综合类（不含动漫）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须为原创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文件为</w:t>
      </w:r>
      <w:r>
        <w:rPr>
          <w:sz w:val="32"/>
          <w:szCs w:val="32"/>
        </w:rPr>
        <w:t>AVI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MOV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MP4</w:t>
      </w:r>
      <w:r>
        <w:rPr>
          <w:rFonts w:hint="eastAsia"/>
          <w:sz w:val="32"/>
          <w:szCs w:val="32"/>
          <w:lang w:val="en-US" w:eastAsia="zh-CN"/>
        </w:rPr>
        <w:t>格式的原始作品</w:t>
      </w:r>
      <w:r>
        <w:rPr>
          <w:rFonts w:hint="eastAsia"/>
          <w:sz w:val="32"/>
          <w:szCs w:val="32"/>
        </w:rPr>
        <w:t>，分辨率不小于</w:t>
      </w:r>
      <w:r>
        <w:rPr>
          <w:sz w:val="32"/>
          <w:szCs w:val="32"/>
        </w:rPr>
        <w:t>1920px</w:t>
      </w:r>
      <w:r>
        <w:rPr>
          <w:rFonts w:hint="eastAsia"/>
          <w:sz w:val="32"/>
          <w:szCs w:val="32"/>
        </w:rPr>
        <w:t>×</w:t>
      </w:r>
      <w:r>
        <w:rPr>
          <w:sz w:val="32"/>
          <w:szCs w:val="32"/>
        </w:rPr>
        <w:t>1080px</w:t>
      </w:r>
      <w:r>
        <w:rPr>
          <w:rFonts w:hint="eastAsia"/>
          <w:sz w:val="32"/>
          <w:szCs w:val="32"/>
        </w:rPr>
        <w:t>。时长原则上在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分钟以内，适合互联网传播。要求画面清晰，声音清楚，提倡标注字幕。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）动漫作品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作品要求：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类型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分为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漫画作品和动画短片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两类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。漫画作品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四格漫画（以四个画面分格来完成一个小故事或一个创意的表现形式）或单幅插画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画稿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基于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尺寸（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210mm×297mm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纸张创作的作品，画稿四周保留各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2cm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空白，要求画面清晰、标明页数；基于计算机或移动设备的新媒体作品，应符合手机动漫行业标准等规范。提交电子图片格式要求为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JPEG:RGB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图，分辨率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100DPI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（作品入选后，需另外提交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TIFF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文件）。阅读顺序可根据个人习惯选择从左到右或从右到左，需要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在作品首页注明。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动画短片须为AVI、MOV、MP4格式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原始作品，分辨率不小于1920px×1080px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时长原则上在10分钟以内。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每件作品作者限</w:t>
      </w:r>
      <w:r>
        <w:rPr>
          <w:rFonts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人以内，可配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）摄影作品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作品要求：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时代风貌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/>
        </w:rPr>
        <w:t>、校园风采、社会纪实、创意摄影4个类别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</w:rPr>
        <w:t>征集</w:t>
      </w:r>
      <w:r>
        <w:rPr>
          <w:rFonts w:hint="eastAsia" w:ascii="仿宋_GB2312" w:hAnsi="Times New Roman" w:eastAsia="仿宋_GB2312" w:cs="Times New Roman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系列作品均可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系列作品视为1件作品，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不超过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张。以图片文件提交，格式为</w:t>
      </w:r>
      <w:bookmarkStart w:id="0" w:name="OLE_LINK1"/>
      <w:bookmarkStart w:id="1" w:name="OLE_LINK2"/>
      <w:r>
        <w:rPr>
          <w:rFonts w:ascii="Times New Roman" w:hAnsi="Times New Roman" w:eastAsia="仿宋_GB2312" w:cs="Times New Roman"/>
          <w:sz w:val="32"/>
          <w:szCs w:val="32"/>
        </w:rPr>
        <w:t>JPEG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，保留</w:t>
      </w:r>
      <w:r>
        <w:rPr>
          <w:rFonts w:ascii="Times New Roman" w:hAnsi="Times New Roman" w:eastAsia="仿宋_GB2312" w:cs="Times New Roman"/>
          <w:sz w:val="32"/>
          <w:szCs w:val="32"/>
        </w:rPr>
        <w:t>EXIF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每件作品作者限1人，</w:t>
      </w:r>
      <w:r>
        <w:rPr>
          <w:rFonts w:ascii="Times New Roman" w:hAnsi="Times New Roman" w:eastAsia="仿宋_GB2312" w:cs="Times New Roman"/>
          <w:sz w:val="32"/>
          <w:szCs w:val="32"/>
        </w:rPr>
        <w:t>可配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网文作品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 w:val="0"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青春梦想、时事评论、艺术文化、社会实践等角度，作品类别分为网络文章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网络文学作品。字数不超过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5000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字，可在文章中配图、表。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每件作品作者限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人，可配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）公益广告</w:t>
      </w:r>
      <w:r>
        <w:rPr>
          <w:rFonts w:ascii="楷体_GB2312" w:hAnsi="Times New Roman" w:eastAsia="楷体_GB2312" w:cs="Times New Roman"/>
          <w:b/>
          <w:bCs/>
          <w:sz w:val="32"/>
          <w:szCs w:val="32"/>
        </w:rPr>
        <w:t>作品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类型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分为平面广告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视频广告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两类，要求内容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导向鲜明、富有内涵、鼓舞人心。平面广告含报纸杂志广告、海报设计、漫画等，提交图片文件，格式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JPEG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，色彩模式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RGB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图片大小在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以内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，系列作品不超过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视频广告含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、微电影、动画片等，提交视频文件，格式为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M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P4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，画面清晰，声音清楚，重点内容配字幕，时长小于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分钟，文件小于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200M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每件作品作者限6人以内，可配1名指导教师。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）音频作品</w:t>
      </w:r>
    </w:p>
    <w:p>
      <w:pPr>
        <w:wordWrap w:val="0"/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体裁不限，诗词、散文、故事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音频诵读作品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创意音频节目均可（不包含歌曲），鼓励原创</w:t>
      </w:r>
      <w:r>
        <w:rPr>
          <w:rFonts w:ascii="仿宋_GB2312" w:hAnsi="Times New Roman" w:eastAsia="仿宋_GB2312" w:cs="Times New Roman"/>
          <w:sz w:val="32"/>
          <w:szCs w:val="32"/>
        </w:rPr>
        <w:t>。作品统一采用</w:t>
      </w:r>
      <w:r>
        <w:rPr>
          <w:rFonts w:ascii="Times New Roman" w:hAnsi="Times New Roman" w:eastAsia="仿宋_GB2312" w:cs="Times New Roman"/>
          <w:sz w:val="32"/>
          <w:szCs w:val="32"/>
        </w:rPr>
        <w:t>MP3</w:t>
      </w:r>
      <w:r>
        <w:rPr>
          <w:rFonts w:ascii="仿宋_GB2312" w:hAnsi="Times New Roman" w:eastAsia="仿宋_GB2312" w:cs="Times New Roman"/>
          <w:sz w:val="32"/>
          <w:szCs w:val="32"/>
        </w:rPr>
        <w:t>格式，时长不超过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仿宋_GB2312" w:hAnsi="Times New Roman" w:eastAsia="仿宋_GB2312" w:cs="Times New Roman"/>
          <w:sz w:val="32"/>
          <w:szCs w:val="32"/>
        </w:rPr>
        <w:t>分钟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超过时长将取消参评资格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，另须以</w:t>
      </w:r>
      <w:r>
        <w:rPr>
          <w:rFonts w:ascii="Times New Roman" w:hAnsi="Times New Roman" w:eastAsia="仿宋_GB2312" w:cs="Times New Roman"/>
          <w:sz w:val="32"/>
          <w:szCs w:val="32"/>
        </w:rPr>
        <w:t>Word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形式提交音频文字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每件作品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创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作者限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（八）校园歌曲作品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分为原创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和改编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两类。原创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指完全自主作词作曲的音乐作品，或借鉴部分（不超过八小节）现成作品的音乐元素创作的音乐作品；改编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某歌曲作品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首发表演形式的基础上进行改编和创新的二度创作作品。所有作品可制作成</w:t>
      </w:r>
      <w:r>
        <w:rPr>
          <w:rFonts w:hint="eastAsia" w:eastAsia="仿宋_GB2312"/>
          <w:sz w:val="32"/>
          <w:szCs w:val="32"/>
          <w:lang w:val="en-US" w:eastAsia="zh-CN"/>
        </w:rPr>
        <w:t>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视频展示，利用互联网音乐或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微视频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平台增加网络人气，扩大影响力（详见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易班网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说明）。其中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歌曲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要在易班网上传完整的音频或视频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歌词和曲谱。</w:t>
      </w:r>
    </w:p>
    <w:p>
      <w:pPr>
        <w:keepNext w:val="0"/>
        <w:keepLines w:val="0"/>
        <w:pageBreakBefore w:val="0"/>
        <w:tabs>
          <w:tab w:val="left" w:pos="1985"/>
        </w:tabs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每件作品作者限3人以内，可配1名指导教师。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（九）其他类网络创新作品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作品要求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类型分为长图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、H5页面、微信推文三类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作品提交图片文件，格式为JPEG，文件小于</w:t>
      </w:r>
      <w:r>
        <w:rPr>
          <w:rFonts w:ascii="Times New Roman" w:hAnsi="Times New Roman" w:eastAsia="仿宋_GB2312" w:cs="Times New Roman"/>
          <w:sz w:val="32"/>
          <w:szCs w:val="32"/>
        </w:rPr>
        <w:t>10MB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每件作品作者限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人以内，可配1名指导教师。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附：1. 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届全国大学生网络文化节作品创作选题指南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</w:t>
      </w:r>
      <w:r>
        <w:rPr>
          <w:rFonts w:ascii="Times New Roman" w:hAnsi="Times New Roman" w:eastAsia="仿宋_GB2312" w:cs="Times New Roman"/>
          <w:sz w:val="32"/>
          <w:szCs w:val="32"/>
        </w:rPr>
        <w:t>全国大学生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网络文化节</w:t>
      </w:r>
      <w:r>
        <w:rPr>
          <w:rFonts w:ascii="Times New Roman" w:hAnsi="Times New Roman" w:eastAsia="仿宋_GB2312" w:cs="Times New Roman"/>
          <w:sz w:val="32"/>
          <w:szCs w:val="32"/>
        </w:rPr>
        <w:t>作品征集信息表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</w:t>
      </w:r>
      <w:r>
        <w:rPr>
          <w:rFonts w:ascii="Times New Roman" w:hAnsi="Times New Roman" w:eastAsia="仿宋_GB2312" w:cs="Times New Roman"/>
          <w:sz w:val="32"/>
          <w:szCs w:val="32"/>
        </w:rPr>
        <w:t>全国大学生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网络文化节</w:t>
      </w:r>
      <w:r>
        <w:rPr>
          <w:rFonts w:ascii="Times New Roman" w:hAnsi="Times New Roman" w:eastAsia="仿宋_GB2312" w:cs="Times New Roman"/>
          <w:sz w:val="32"/>
          <w:szCs w:val="32"/>
        </w:rPr>
        <w:t>作品征集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汇总</w:t>
      </w:r>
      <w:r>
        <w:rPr>
          <w:rFonts w:ascii="Times New Roman" w:hAnsi="Times New Roman" w:eastAsia="仿宋_GB2312" w:cs="Times New Roman"/>
          <w:sz w:val="32"/>
          <w:szCs w:val="32"/>
        </w:rPr>
        <w:t>表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200" w:firstLine="640" w:firstLineChars="200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  <w:sectPr>
          <w:footerReference r:id="rId4" w:type="first"/>
          <w:footerReference r:id="rId3" w:type="default"/>
          <w:pgSz w:w="11900" w:h="16840"/>
          <w:pgMar w:top="1440" w:right="1800" w:bottom="1440" w:left="1800" w:header="851" w:footer="851" w:gutter="0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hAnsiTheme="minorHAnsi" w:cstheme="minorBidi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届全国大学生网络文化节作品创作选题指南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（供创作参考，不限于以上主题）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2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届全国大学生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tbl>
      <w:tblPr>
        <w:tblStyle w:val="1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b/>
          <w:bCs w:val="0"/>
          <w:sz w:val="28"/>
          <w:szCs w:val="28"/>
        </w:rPr>
      </w:pPr>
      <w:r>
        <w:rPr>
          <w:rFonts w:hint="eastAsia" w:ascii="仿宋_GB2312" w:hAnsi="黑体" w:eastAsia="仿宋_GB2312" w:cs="Times New Roman"/>
          <w:b/>
          <w:bCs w:val="0"/>
          <w:sz w:val="28"/>
          <w:szCs w:val="28"/>
        </w:rPr>
        <w:t>附</w:t>
      </w:r>
      <w:r>
        <w:rPr>
          <w:rFonts w:hint="eastAsia" w:ascii="Times New Roman" w:hAnsi="Times New Roman" w:eastAsia="黑体" w:cs="Times New Roman"/>
          <w:b/>
          <w:bCs w:val="0"/>
          <w:sz w:val="28"/>
          <w:szCs w:val="28"/>
        </w:rPr>
        <w:t>3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 w:val="0"/>
          <w:bCs/>
          <w:kern w:val="0"/>
          <w:sz w:val="30"/>
          <w:szCs w:val="30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 w:val="0"/>
          <w:bCs/>
          <w:kern w:val="0"/>
          <w:sz w:val="30"/>
          <w:szCs w:val="30"/>
        </w:rPr>
        <w:t>届全国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大学生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30"/>
          <w:szCs w:val="30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表</w:t>
      </w:r>
    </w:p>
    <w:tbl>
      <w:tblPr>
        <w:tblStyle w:val="1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作品类别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□动漫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□摄影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□网文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□公益广告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□音频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□校园歌曲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kern w:val="0"/>
          <w:szCs w:val="24"/>
        </w:rPr>
        <w:t>“作品类别+推荐单位名称+汇总表”，每类作品单独一张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sectPr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ZTA3YzU0NThkMDQzYjc5NzFkZDRkOTdiOWU1MTE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A55465"/>
    <w:rsid w:val="50D26836"/>
    <w:rsid w:val="50EE1CF2"/>
    <w:rsid w:val="51105B67"/>
    <w:rsid w:val="513616BA"/>
    <w:rsid w:val="5138229A"/>
    <w:rsid w:val="52A00537"/>
    <w:rsid w:val="53251CA2"/>
    <w:rsid w:val="53734A39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B0620F"/>
    <w:rsid w:val="68821C5B"/>
    <w:rsid w:val="6893716D"/>
    <w:rsid w:val="6899211B"/>
    <w:rsid w:val="68C424C6"/>
    <w:rsid w:val="691E3671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5E31EA6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76281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Char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Char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Char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Char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Char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885-ED98-43B1-9C9C-C5386333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9</Pages>
  <Words>3519</Words>
  <Characters>3667</Characters>
  <Lines>41</Lines>
  <Paragraphs>11</Paragraphs>
  <TotalTime>0</TotalTime>
  <ScaleCrop>false</ScaleCrop>
  <LinksUpToDate>false</LinksUpToDate>
  <CharactersWithSpaces>3844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2020-10-12T00:59:00Z</dcterms:created>
  <dc:creator>Microsoft Office 用户</dc:creator>
  <cp:lastModifiedBy>葛金华</cp:lastModifiedBy>
  <cp:lastPrinted>2022-06-06T01:06:40Z</cp:lastPrinted>
  <dcterms:modified xsi:type="dcterms:W3CDTF">2022-06-06T01:33:13Z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0FCA1090FE444A4B8721B7B985142AD4</vt:lpwstr>
  </property>
  <property fmtid="{D5CDD505-2E9C-101B-9397-08002B2CF9AE}" pid="4" name="commondata">
    <vt:lpwstr>eyJoZGlkIjoiNmU1Y2RkY2RlMGJjYTkxZDAzODgwYzFiNTExZWJkYWEifQ==</vt:lpwstr>
  </property>
</Properties>
</file>